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b/>
          <w:sz w:val="24"/>
          <w:b/>
          <w:szCs w:val="24"/>
        </w:rPr>
      </w:pPr>
      <w:r>
        <w:rPr>
          <w:b/>
          <w:sz w:val="24"/>
          <w:szCs w:val="24"/>
        </w:rPr>
      </w:r>
      <w:r/>
    </w:p>
    <w:p>
      <w:pPr>
        <w:pStyle w:val="Normal"/>
        <w:jc w:val="center"/>
        <w:rPr>
          <w:sz w:val="24"/>
          <w:b/>
          <w:sz w:val="24"/>
          <w:b/>
          <w:szCs w:val="24"/>
        </w:rPr>
      </w:pPr>
      <w:r>
        <w:rPr>
          <w:b/>
          <w:sz w:val="24"/>
          <w:szCs w:val="24"/>
        </w:rPr>
        <w:t>CIUDADES Y REGIONES PARA LA COOPERACIÓN AL DESARROLLO</w:t>
      </w:r>
      <w:r/>
    </w:p>
    <w:p>
      <w:pPr>
        <w:pStyle w:val="Normal"/>
        <w:jc w:val="center"/>
        <w:rPr>
          <w:sz w:val="24"/>
          <w:b/>
          <w:sz w:val="24"/>
          <w:b/>
          <w:szCs w:val="24"/>
        </w:rPr>
      </w:pPr>
      <w:r>
        <w:rPr>
          <w:b/>
          <w:sz w:val="24"/>
          <w:szCs w:val="24"/>
        </w:rPr>
        <w:t>4 Y 5 DE FEBRERO, BRUSELAS</w:t>
      </w:r>
      <w:r/>
    </w:p>
    <w:p>
      <w:pPr>
        <w:pStyle w:val="Normal"/>
        <w:rPr>
          <w:sz w:val="24"/>
          <w:b/>
          <w:sz w:val="24"/>
          <w:b/>
          <w:szCs w:val="24"/>
        </w:rPr>
      </w:pPr>
      <w:r>
        <w:rPr>
          <w:b/>
          <w:sz w:val="24"/>
          <w:szCs w:val="24"/>
        </w:rPr>
      </w:r>
      <w:r/>
    </w:p>
    <w:p>
      <w:pPr>
        <w:pStyle w:val="Normal"/>
        <w:rPr>
          <w:sz w:val="24"/>
          <w:i/>
          <w:b/>
          <w:sz w:val="24"/>
          <w:i/>
          <w:b/>
          <w:szCs w:val="24"/>
        </w:rPr>
      </w:pPr>
      <w:r>
        <w:rPr>
          <w:b/>
          <w:i/>
          <w:sz w:val="24"/>
          <w:szCs w:val="24"/>
        </w:rPr>
        <w:t>PARTENARIADO LOCAL Y REGIONAL PARA UN DESARROLLO URBANO SOSTENIBLE</w:t>
      </w:r>
      <w:r/>
    </w:p>
    <w:p>
      <w:pPr>
        <w:pStyle w:val="Normal"/>
        <w:rPr>
          <w:sz w:val="24"/>
          <w:b/>
          <w:sz w:val="24"/>
          <w:b/>
          <w:szCs w:val="24"/>
        </w:rPr>
      </w:pPr>
      <w:r>
        <w:rPr>
          <w:b/>
          <w:sz w:val="24"/>
          <w:szCs w:val="24"/>
        </w:rPr>
      </w:r>
      <w:r/>
    </w:p>
    <w:p>
      <w:pPr>
        <w:pStyle w:val="Normal"/>
      </w:pPr>
      <w:r>
        <w:rPr/>
      </w:r>
      <w:r/>
    </w:p>
    <w:p>
      <w:pPr>
        <w:pStyle w:val="Normal"/>
      </w:pPr>
      <w:r>
        <w:rPr/>
      </w:r>
      <w:r/>
    </w:p>
    <w:p>
      <w:pPr>
        <w:pStyle w:val="ListParagraph"/>
        <w:spacing w:lineRule="auto" w:line="360" w:before="0" w:after="0"/>
        <w:ind w:left="360" w:hanging="0"/>
        <w:jc w:val="both"/>
        <w:rPr>
          <w:sz w:val="24"/>
          <w:sz w:val="24"/>
          <w:szCs w:val="24"/>
        </w:rPr>
      </w:pPr>
      <w:r>
        <w:rPr>
          <w:sz w:val="24"/>
          <w:szCs w:val="24"/>
        </w:rPr>
        <w:t>El Director General de UE, Acción Exterior y Cooperación, Manuel Pleguezuelo,  acude hoy a Bruselas al Foro "Ciudades y regiones para la cooperación al desarrollo" (anteriormente denominada "Assises de cooperación descentralizada"), organizado conjuntamente por la Comisión Europea y el Comité Europeo de las Regiones.</w:t>
      </w:r>
      <w:r/>
    </w:p>
    <w:p>
      <w:pPr>
        <w:pStyle w:val="ListParagraph"/>
        <w:spacing w:lineRule="auto" w:line="360" w:before="0" w:after="0"/>
        <w:ind w:left="360" w:hanging="0"/>
        <w:jc w:val="both"/>
        <w:rPr>
          <w:sz w:val="24"/>
          <w:sz w:val="24"/>
          <w:szCs w:val="24"/>
        </w:rPr>
      </w:pPr>
      <w:r>
        <w:rPr>
          <w:sz w:val="24"/>
          <w:szCs w:val="24"/>
        </w:rPr>
      </w:r>
      <w:r/>
    </w:p>
    <w:p>
      <w:pPr>
        <w:pStyle w:val="ListParagraph"/>
        <w:spacing w:lineRule="auto" w:line="360" w:before="0" w:after="0"/>
        <w:ind w:left="360" w:hanging="0"/>
        <w:jc w:val="both"/>
        <w:rPr>
          <w:sz w:val="24"/>
          <w:sz w:val="24"/>
          <w:szCs w:val="24"/>
        </w:rPr>
      </w:pPr>
      <w:r>
        <w:rPr>
          <w:sz w:val="24"/>
          <w:szCs w:val="24"/>
        </w:rPr>
        <w:t xml:space="preserve">El objetivo específico del Foro 2019 es debatir sobre el </w:t>
      </w:r>
      <w:r>
        <w:rPr>
          <w:b/>
          <w:sz w:val="24"/>
          <w:szCs w:val="24"/>
        </w:rPr>
        <w:t xml:space="preserve">partenariado local y regional para un desarrollo urbano sostenible </w:t>
      </w:r>
      <w:r>
        <w:rPr>
          <w:sz w:val="24"/>
          <w:szCs w:val="24"/>
        </w:rPr>
        <w:t>y mejorar la forma en que la Comisión Europea y el Comité de las Regiones trabajan sobre el desarrollo urbano integrado sostenible en el contexto de la cooperación descentralizada.</w:t>
      </w:r>
      <w:r/>
    </w:p>
    <w:p>
      <w:pPr>
        <w:pStyle w:val="ListParagraph"/>
        <w:spacing w:lineRule="auto" w:line="360" w:before="0" w:after="0"/>
        <w:ind w:left="360" w:hanging="0"/>
        <w:jc w:val="both"/>
        <w:rPr>
          <w:sz w:val="24"/>
          <w:sz w:val="24"/>
          <w:szCs w:val="24"/>
        </w:rPr>
      </w:pPr>
      <w:r>
        <w:rPr>
          <w:sz w:val="24"/>
          <w:szCs w:val="24"/>
        </w:rPr>
      </w:r>
      <w:r/>
    </w:p>
    <w:p>
      <w:pPr>
        <w:pStyle w:val="ListParagraph"/>
        <w:spacing w:lineRule="auto" w:line="360" w:before="0" w:after="0"/>
        <w:ind w:left="360" w:hanging="0"/>
        <w:jc w:val="both"/>
        <w:rPr>
          <w:sz w:val="24"/>
          <w:sz w:val="24"/>
          <w:szCs w:val="24"/>
        </w:rPr>
      </w:pPr>
      <w:r>
        <w:rPr>
          <w:sz w:val="24"/>
          <w:szCs w:val="24"/>
        </w:rPr>
        <w:t xml:space="preserve">La UE ha reconocido en numerosas ocasiones el papel de los municipios, ciudades, y regiones, como responsables políticos y de toma de decisiones, para enfrentar los desafíos globales y para implementar las agendas globales compartidas a nivel local. </w:t>
      </w:r>
      <w:r/>
    </w:p>
    <w:p>
      <w:pPr>
        <w:pStyle w:val="ListParagraph"/>
        <w:spacing w:lineRule="auto" w:line="360"/>
        <w:ind w:left="360" w:hanging="0"/>
        <w:jc w:val="both"/>
        <w:rPr>
          <w:sz w:val="24"/>
          <w:sz w:val="24"/>
          <w:szCs w:val="24"/>
        </w:rPr>
      </w:pPr>
      <w:r>
        <w:rPr>
          <w:sz w:val="24"/>
          <w:szCs w:val="24"/>
        </w:rPr>
      </w:r>
      <w:r/>
    </w:p>
    <w:p>
      <w:pPr>
        <w:pStyle w:val="ListParagraph"/>
        <w:spacing w:lineRule="auto" w:line="360" w:before="0" w:after="0"/>
        <w:ind w:left="360" w:hanging="0"/>
        <w:jc w:val="both"/>
        <w:rPr>
          <w:sz w:val="24"/>
          <w:sz w:val="24"/>
          <w:szCs w:val="24"/>
        </w:rPr>
      </w:pPr>
      <w:r>
        <w:rPr>
          <w:sz w:val="24"/>
          <w:szCs w:val="24"/>
        </w:rPr>
        <w:t xml:space="preserve">Las </w:t>
      </w:r>
      <w:r>
        <w:rPr>
          <w:b/>
          <w:sz w:val="24"/>
          <w:szCs w:val="24"/>
        </w:rPr>
        <w:t>autoridades locales y autonómicas son responsables de la realización de los objetivos de desarrollo sostenible a escala local y regional</w:t>
      </w:r>
      <w:r>
        <w:rPr>
          <w:sz w:val="24"/>
          <w:szCs w:val="24"/>
        </w:rPr>
        <w:t>. Gran parte de los desafíos en relación con la implementación de la Agenda 2030 dependerán en gran medida de la planificación de políticas autonómicas y locales, de la dotación de servicios públicos clave, y de una adecuada coordinación con los otros niveles de la Administración y gobernanza.</w:t>
      </w:r>
      <w:r/>
    </w:p>
    <w:p>
      <w:pPr>
        <w:pStyle w:val="ListParagraph"/>
        <w:rPr>
          <w:sz w:val="24"/>
          <w:sz w:val="24"/>
          <w:szCs w:val="24"/>
        </w:rPr>
      </w:pPr>
      <w:r>
        <w:rPr>
          <w:sz w:val="24"/>
          <w:szCs w:val="24"/>
        </w:rPr>
      </w:r>
      <w:r/>
    </w:p>
    <w:p>
      <w:pPr>
        <w:pStyle w:val="ListParagraph"/>
        <w:spacing w:lineRule="auto" w:line="360" w:before="0" w:after="0"/>
        <w:ind w:left="360" w:hanging="0"/>
        <w:jc w:val="both"/>
        <w:rPr>
          <w:sz w:val="24"/>
          <w:sz w:val="24"/>
          <w:szCs w:val="24"/>
        </w:rPr>
      </w:pPr>
      <w:r>
        <w:rPr>
          <w:sz w:val="24"/>
          <w:szCs w:val="24"/>
        </w:rPr>
        <w:t>Objetivos Foro 2019:</w:t>
      </w:r>
      <w:r/>
    </w:p>
    <w:p>
      <w:pPr>
        <w:pStyle w:val="ListParagraph"/>
        <w:spacing w:lineRule="auto" w:line="360"/>
        <w:ind w:left="360" w:hanging="0"/>
        <w:jc w:val="both"/>
        <w:rPr>
          <w:sz w:val="24"/>
          <w:sz w:val="24"/>
          <w:szCs w:val="24"/>
        </w:rPr>
      </w:pPr>
      <w:r>
        <w:rPr>
          <w:sz w:val="24"/>
          <w:szCs w:val="24"/>
        </w:rPr>
      </w:r>
      <w:r/>
    </w:p>
    <w:p>
      <w:pPr>
        <w:pStyle w:val="ListParagraph"/>
        <w:spacing w:lineRule="auto" w:line="360"/>
        <w:ind w:left="360" w:hanging="0"/>
        <w:jc w:val="both"/>
        <w:rPr>
          <w:sz w:val="24"/>
          <w:sz w:val="24"/>
          <w:szCs w:val="24"/>
        </w:rPr>
      </w:pPr>
      <w:r>
        <w:rPr>
          <w:sz w:val="24"/>
          <w:szCs w:val="24"/>
        </w:rPr>
      </w:r>
      <w:r/>
    </w:p>
    <w:p>
      <w:pPr>
        <w:pStyle w:val="ListParagraph"/>
        <w:numPr>
          <w:ilvl w:val="0"/>
          <w:numId w:val="1"/>
        </w:numPr>
        <w:spacing w:lineRule="auto" w:line="360"/>
        <w:jc w:val="both"/>
        <w:rPr>
          <w:sz w:val="24"/>
          <w:sz w:val="24"/>
          <w:szCs w:val="24"/>
        </w:rPr>
      </w:pPr>
      <w:r>
        <w:rPr>
          <w:sz w:val="24"/>
          <w:szCs w:val="24"/>
        </w:rPr>
        <w:t>Realizar propuestas de recomendaciones de política estratégica y realización de aportaciones en el campo del desarrollo urbano sostenible para las instituciones de la UE.</w:t>
      </w:r>
      <w:r/>
    </w:p>
    <w:p>
      <w:pPr>
        <w:pStyle w:val="ListParagraph"/>
        <w:spacing w:lineRule="auto" w:line="360"/>
        <w:ind w:left="360" w:hanging="0"/>
        <w:jc w:val="both"/>
        <w:rPr>
          <w:sz w:val="24"/>
          <w:sz w:val="24"/>
          <w:szCs w:val="24"/>
        </w:rPr>
      </w:pPr>
      <w:r>
        <w:rPr>
          <w:sz w:val="24"/>
          <w:szCs w:val="24"/>
        </w:rPr>
      </w:r>
      <w:r/>
    </w:p>
    <w:p>
      <w:pPr>
        <w:pStyle w:val="ListParagraph"/>
        <w:numPr>
          <w:ilvl w:val="0"/>
          <w:numId w:val="1"/>
        </w:numPr>
        <w:spacing w:lineRule="auto" w:line="360"/>
        <w:jc w:val="both"/>
        <w:rPr>
          <w:sz w:val="24"/>
          <w:sz w:val="24"/>
          <w:szCs w:val="24"/>
        </w:rPr>
      </w:pPr>
      <w:r>
        <w:rPr>
          <w:sz w:val="24"/>
          <w:szCs w:val="24"/>
        </w:rPr>
        <w:t>Debatir políticas y buenas prácticas sobre desarrollo urbano sostenible entre las autoridades locales y regionales y sus asociaciones de la Unión Europea y sus países socios.</w:t>
      </w:r>
      <w:r/>
    </w:p>
    <w:p>
      <w:pPr>
        <w:pStyle w:val="ListParagraph"/>
        <w:spacing w:lineRule="auto" w:line="360"/>
        <w:ind w:left="360" w:hanging="0"/>
        <w:jc w:val="both"/>
        <w:rPr>
          <w:sz w:val="24"/>
          <w:sz w:val="24"/>
          <w:szCs w:val="24"/>
        </w:rPr>
      </w:pPr>
      <w:r>
        <w:rPr>
          <w:sz w:val="24"/>
          <w:szCs w:val="24"/>
        </w:rPr>
      </w:r>
      <w:r/>
    </w:p>
    <w:p>
      <w:pPr>
        <w:pStyle w:val="ListParagraph"/>
        <w:numPr>
          <w:ilvl w:val="0"/>
          <w:numId w:val="1"/>
        </w:numPr>
        <w:spacing w:lineRule="auto" w:line="360"/>
        <w:jc w:val="both"/>
        <w:rPr>
          <w:sz w:val="24"/>
          <w:sz w:val="24"/>
          <w:szCs w:val="24"/>
        </w:rPr>
      </w:pPr>
      <w:r>
        <w:rPr>
          <w:sz w:val="24"/>
          <w:szCs w:val="24"/>
        </w:rPr>
        <w:t>Formular recomendaciones prácticas para las convocatorias temáticas de la Comisión Europea.</w:t>
      </w:r>
      <w:r/>
    </w:p>
    <w:p>
      <w:pPr>
        <w:pStyle w:val="ListParagraph"/>
        <w:spacing w:lineRule="auto" w:line="360"/>
        <w:ind w:left="360" w:hanging="0"/>
        <w:jc w:val="both"/>
        <w:rPr>
          <w:sz w:val="24"/>
          <w:sz w:val="24"/>
          <w:szCs w:val="24"/>
        </w:rPr>
      </w:pPr>
      <w:r>
        <w:rPr>
          <w:sz w:val="24"/>
          <w:szCs w:val="24"/>
        </w:rPr>
      </w:r>
      <w:r/>
    </w:p>
    <w:p>
      <w:pPr>
        <w:pStyle w:val="ListParagraph"/>
        <w:numPr>
          <w:ilvl w:val="0"/>
          <w:numId w:val="1"/>
        </w:numPr>
        <w:spacing w:lineRule="auto" w:line="360"/>
        <w:jc w:val="both"/>
        <w:rPr>
          <w:sz w:val="24"/>
          <w:sz w:val="24"/>
          <w:szCs w:val="24"/>
        </w:rPr>
      </w:pPr>
      <w:r>
        <w:rPr>
          <w:b/>
          <w:sz w:val="24"/>
          <w:szCs w:val="24"/>
        </w:rPr>
        <w:t>Identificar y mostrar buenas prácticas para participar en nuevas iniciativas de asociación</w:t>
      </w:r>
      <w:r>
        <w:rPr>
          <w:sz w:val="24"/>
          <w:szCs w:val="24"/>
        </w:rPr>
        <w:t xml:space="preserve"> y hermanamiento.</w:t>
      </w:r>
      <w:r/>
    </w:p>
    <w:p>
      <w:pPr>
        <w:pStyle w:val="ListParagraph"/>
        <w:rPr>
          <w:sz w:val="24"/>
          <w:sz w:val="24"/>
          <w:szCs w:val="24"/>
        </w:rPr>
      </w:pPr>
      <w:r>
        <w:rPr>
          <w:sz w:val="24"/>
          <w:szCs w:val="24"/>
        </w:rPr>
      </w:r>
      <w:r/>
    </w:p>
    <w:p>
      <w:pPr>
        <w:pStyle w:val="ListParagraph"/>
        <w:spacing w:lineRule="auto" w:line="360"/>
        <w:ind w:left="1080" w:hanging="0"/>
        <w:jc w:val="both"/>
        <w:rPr>
          <w:sz w:val="24"/>
          <w:sz w:val="24"/>
          <w:szCs w:val="24"/>
        </w:rPr>
      </w:pPr>
      <w:r>
        <w:rPr>
          <w:sz w:val="24"/>
          <w:szCs w:val="24"/>
        </w:rPr>
        <w:t xml:space="preserve">A estos efectos, la Región de Murcia propuso la participación en este foro del </w:t>
      </w:r>
      <w:r>
        <w:rPr>
          <w:b/>
          <w:sz w:val="24"/>
          <w:szCs w:val="24"/>
        </w:rPr>
        <w:t>Sr. Mbargane Thiem</w:t>
      </w:r>
      <w:r>
        <w:rPr>
          <w:sz w:val="24"/>
          <w:szCs w:val="24"/>
        </w:rPr>
        <w:t xml:space="preserve">, concejal del municipio de Niomré, </w:t>
      </w:r>
      <w:r>
        <w:rPr>
          <w:b/>
          <w:sz w:val="24"/>
          <w:szCs w:val="24"/>
        </w:rPr>
        <w:t>Senegal</w:t>
      </w:r>
      <w:r>
        <w:rPr>
          <w:sz w:val="24"/>
          <w:szCs w:val="24"/>
        </w:rPr>
        <w:t xml:space="preserve"> para exponer el proyecto sobre seguridad alimentaria  “</w:t>
      </w:r>
      <w:r>
        <w:rPr>
          <w:b/>
          <w:sz w:val="24"/>
          <w:szCs w:val="24"/>
        </w:rPr>
        <w:t>Generación de procesos de diversificación y mejora de la economía productiva y la seguridad alimentaria en cuatro agrupaciones de mujeres del municipio de Niomré (Senegal)”,</w:t>
      </w:r>
      <w:r>
        <w:rPr>
          <w:sz w:val="24"/>
          <w:szCs w:val="24"/>
        </w:rPr>
        <w:t xml:space="preserve"> financiado por la CARM en la convocatoria de subvenciones 2018 y que se ha hecho realidad gracias a la asociación publico-privada/norte-sur del Municipio senegales, la Fundación CEPAIM y la CARM.</w:t>
      </w:r>
      <w:r/>
    </w:p>
    <w:p>
      <w:pPr>
        <w:pStyle w:val="Normal"/>
        <w:spacing w:lineRule="auto" w:line="360"/>
        <w:ind w:left="1080" w:hanging="0"/>
        <w:jc w:val="both"/>
        <w:rPr>
          <w:sz w:val="24"/>
          <w:sz w:val="24"/>
          <w:szCs w:val="24"/>
        </w:rPr>
      </w:pPr>
      <w:r>
        <w:rPr>
          <w:sz w:val="24"/>
          <w:szCs w:val="24"/>
        </w:rPr>
        <w:t xml:space="preserve"> </w:t>
      </w:r>
      <w:r>
        <w:rPr>
          <w:sz w:val="24"/>
          <w:szCs w:val="24"/>
        </w:rPr>
        <w:t>En el citado proyecto pretende mejorar la diversificación agrícola y la economía productiva para cuatro agrupaciones de mujeres. El fin de estas mejoras es consolidar la seguridad alimentaria de las familias en la localidad de Niomré. Niomré es una zona poco atendida por agentes de desarrollo, que sufre las consecuencias del cambio climático y que ha sido identificada como una de las más vulnerables a la inseguridad alimentaria en Senegal.</w:t>
      </w:r>
      <w:r/>
    </w:p>
    <w:p>
      <w:pPr>
        <w:pStyle w:val="Normal"/>
        <w:spacing w:lineRule="auto" w:line="360"/>
        <w:ind w:left="1080" w:hanging="0"/>
        <w:jc w:val="both"/>
        <w:rPr>
          <w:sz w:val="24"/>
          <w:sz w:val="24"/>
          <w:szCs w:val="24"/>
        </w:rPr>
      </w:pPr>
      <w:r>
        <w:rPr>
          <w:sz w:val="24"/>
          <w:szCs w:val="24"/>
        </w:rPr>
        <w:t>Para la consecución de este objetivo se va a desarrollar un huerto comunitario en el que las cuatro agrupaciones de mujeres podrán desarrollar el cultivo de diversas variedades hortícolas.</w:t>
      </w:r>
      <w:r/>
    </w:p>
    <w:p>
      <w:pPr>
        <w:pStyle w:val="Normal"/>
        <w:spacing w:lineRule="auto" w:line="360"/>
        <w:ind w:left="1080" w:hanging="0"/>
        <w:jc w:val="both"/>
      </w:pPr>
      <w:r>
        <w:rPr>
          <w:sz w:val="24"/>
          <w:szCs w:val="24"/>
        </w:rPr>
        <w:t xml:space="preserve">Con los productos del huerto se conseguirá un doble objetivo: mejorar la alimentación de las familias con el consumo directo de los cultivos e incrementar los ingresos de las mujeres agricultoras y sus agrupaciones a través de la comercialización del excedente. Todas estas actividades vendrán acompañadas de formaciones en agricultura ecológica y gestión cooperativa para reforzar la labor de las agrupaciones y asegurar la sostenibilidad a largo plazo del proyecto. </w:t>
      </w:r>
      <w:r/>
    </w:p>
    <w:sectPr>
      <w:headerReference w:type="default" r:id="rId2"/>
      <w:footerReference w:type="default" r:id="rId3"/>
      <w:type w:val="nextPage"/>
      <w:pgSz w:w="11906" w:h="16838"/>
      <w:pgMar w:left="1134" w:right="1134" w:header="1134" w:top="4011" w:footer="1134" w:bottom="1672"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right"/>
        </w:pPr>
        <w:r>
          <w:rPr/>
          <w:fldChar w:fldCharType="begin"/>
        </w:r>
        <w:r>
          <w:instrText> PAGE </w:instrText>
        </w:r>
        <w:r>
          <w:fldChar w:fldCharType="separate"/>
        </w:r>
        <w:r>
          <w:t>3</w:t>
        </w:r>
        <w:r>
          <w:fldChar w:fldCharType="end"/>
        </w:r>
        <w:r/>
      </w:p>
    </w:sdtContent>
  </w:sdt>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pPr w:bottomFromText="0" w:horzAnchor="page" w:leftFromText="0" w:rightFromText="0" w:tblpX="0" w:tblpXSpec="" w:tblpY="1" w:tblpYSpec="" w:topFromText="0" w:vertAnchor="page"/>
      <w:tblW w:w="9638" w:type="dxa"/>
      <w:jc w:val="left"/>
      <w:tblInd w:w="0" w:type="dxa"/>
      <w:tblBorders>
        <w:top w:val="nil"/>
        <w:left w:val="nil"/>
        <w:bottom w:val="nil"/>
        <w:right w:val="nil"/>
        <w:insideH w:val="nil"/>
        <w:insideV w:val="nil"/>
      </w:tblBorders>
      <w:tblCellMar>
        <w:top w:w="0" w:type="dxa"/>
        <w:left w:w="0" w:type="dxa"/>
        <w:bottom w:w="0" w:type="dxa"/>
        <w:right w:w="0" w:type="dxa"/>
      </w:tblCellMar>
    </w:tblPr>
    <w:tblGrid>
      <w:gridCol w:w="9638"/>
    </w:tblGrid>
    <w:tr>
      <w:trPr>
        <w:trHeight w:val="2608" w:hRule="exact"/>
        <w:cantSplit w:val="true"/>
      </w:trPr>
      <w:tc>
        <w:tcPr>
          <w:tcW w:w="9638" w:type="dxa"/>
          <w:tcBorders>
            <w:top w:val="nil"/>
            <w:left w:val="nil"/>
            <w:bottom w:val="nil"/>
            <w:right w:val="nil"/>
            <w:insideH w:val="nil"/>
            <w:insideV w:val="nil"/>
          </w:tcBorders>
          <w:shd w:fill="auto" w:val="clear"/>
        </w:tcPr>
        <w:p>
          <w:pPr>
            <w:pStyle w:val="Encabezamiento"/>
            <w:spacing w:lineRule="auto" w:line="240" w:before="0" w:after="0"/>
            <w:jc w:val="center"/>
          </w:pPr>
          <w:r>
            <w:rPr/>
            <w:drawing>
              <wp:inline distT="0" distB="0" distL="0" distR="0">
                <wp:extent cx="7538085" cy="165608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7538085" cy="1656080"/>
                        </a:xfrm>
                        <a:prstGeom prst="rect">
                          <a:avLst/>
                        </a:prstGeom>
                        <a:noFill/>
                        <a:ln w="9525">
                          <a:noFill/>
                          <a:miter lim="800000"/>
                          <a:headEnd/>
                          <a:tailEnd/>
                        </a:ln>
                      </pic:spPr>
                    </pic:pic>
                  </a:graphicData>
                </a:graphic>
              </wp:inline>
            </w:drawing>
          </w:r>
          <w:r/>
        </w:p>
      </w:tc>
    </w:tr>
  </w:tbl>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a1611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rPr/>
  </w:style>
  <w:style w:type="character" w:styleId="EncabezadoCar" w:customStyle="1">
    <w:name w:val="Encabezado Car"/>
    <w:basedOn w:val="DefaultParagraphFont"/>
    <w:link w:val="Encabezado"/>
    <w:uiPriority w:val="99"/>
    <w:rsid w:val="0033118a"/>
    <w:rPr/>
  </w:style>
  <w:style w:type="character" w:styleId="PiedepginaCar" w:customStyle="1">
    <w:name w:val="Pie de página Car"/>
    <w:basedOn w:val="DefaultParagraphFont"/>
    <w:link w:val="Piedepgina"/>
    <w:uiPriority w:val="99"/>
    <w:rsid w:val="0033118a"/>
    <w:rPr/>
  </w:style>
  <w:style w:type="character" w:styleId="ListLabel1">
    <w:name w:val="ListLabel 1"/>
    <w:rPr>
      <w:rFonts w:eastAsia="Calibri" w:cs=""/>
    </w:rPr>
  </w:style>
  <w:style w:type="character" w:styleId="ListLabel2">
    <w:name w:val="ListLabel 2"/>
    <w:rPr>
      <w:rFonts w:cs="Courier New"/>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Encabezamiento">
    <w:name w:val="Encabezamiento"/>
    <w:basedOn w:val="Normal"/>
    <w:link w:val="EncabezadoCar"/>
    <w:uiPriority w:val="99"/>
    <w:unhideWhenUsed/>
    <w:rsid w:val="0033118a"/>
    <w:pPr>
      <w:tabs>
        <w:tab w:val="center" w:pos="4252" w:leader="none"/>
        <w:tab w:val="right" w:pos="8504" w:leader="none"/>
      </w:tabs>
    </w:pPr>
    <w:rPr/>
  </w:style>
  <w:style w:type="paragraph" w:styleId="Piedepgina">
    <w:name w:val="Pie de página"/>
    <w:basedOn w:val="Normal"/>
    <w:link w:val="PiedepginaCar"/>
    <w:uiPriority w:val="99"/>
    <w:unhideWhenUsed/>
    <w:rsid w:val="0033118a"/>
    <w:pPr>
      <w:tabs>
        <w:tab w:val="center" w:pos="4252" w:leader="none"/>
        <w:tab w:val="right" w:pos="8504" w:leader="none"/>
      </w:tabs>
    </w:pPr>
    <w:rPr/>
  </w:style>
  <w:style w:type="paragraph" w:styleId="ListParagraph">
    <w:name w:val="List Paragraph"/>
    <w:basedOn w:val="Normal"/>
    <w:uiPriority w:val="34"/>
    <w:qFormat/>
    <w:rsid w:val="00995577"/>
    <w:pPr>
      <w:spacing w:before="0" w:after="0"/>
      <w:ind w:left="720" w:hanging="0"/>
      <w:contextualSpacing/>
    </w:pPr>
    <w:rPr/>
  </w:style>
  <w:style w:type="paragraph" w:styleId="Default" w:customStyle="1">
    <w:name w:val="Default"/>
    <w:rsid w:val="00130e58"/>
    <w:pPr>
      <w:widowControl/>
      <w:suppressAutoHyphens w:val="true"/>
      <w:bidi w:val="0"/>
      <w:spacing w:lineRule="auto" w:line="240" w:before="0" w:after="0"/>
      <w:jc w:val="left"/>
    </w:pPr>
    <w:rPr>
      <w:rFonts w:ascii="Times New Roman" w:hAnsi="Times New Roman" w:cs="Times New Roman" w:eastAsia="Calibri"/>
      <w:color w:val="000000"/>
      <w:sz w:val="24"/>
      <w:szCs w:val="24"/>
      <w:lang w:val="es-ES" w:eastAsia="en-US" w:bidi="ar-SA"/>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39"/>
    <w:rsid w:val="0033118a"/>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 UE - RELACIONES.dotx</Template>
  <TotalTime>0</TotalTime>
  <Application>LibreOffice/4.3.7.2$Windows_x86 LibreOffice_project/8a35821d8636a03b8bf4e15b48f59794652c68ba</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2019-02-04T17:39:00Z</dcterms:created>
  <dc:creator>VIVIENTE RODRIGUEZ, M. REMEDIOS</dc:creator>
  <dc:language>es-ES</dc:language>
  <cp:lastModifiedBy>DURAN TORRES-FONTES, CRISTINA</cp:lastModifiedBy>
  <dcterms:modified xsi:type="dcterms:W3CDTF">2019-02-04T17:39:00Z</dcterms:modified>
  <cp:revision>2</cp:revision>
</cp:coreProperties>
</file>